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842EC" w:rsidTr="0088395E">
        <w:tc>
          <w:tcPr>
            <w:tcW w:w="4513" w:type="dxa"/>
            <w:tcBorders>
              <w:bottom w:val="single" w:sz="4" w:space="0" w:color="auto"/>
            </w:tcBorders>
            <w:tcMar>
              <w:bottom w:w="170" w:type="dxa"/>
            </w:tcMar>
          </w:tcPr>
          <w:p w:rsidR="00E504E5" w:rsidRPr="00E842EC" w:rsidRDefault="00E504E5" w:rsidP="00AB613D">
            <w:bookmarkStart w:id="0" w:name="_GoBack"/>
            <w:bookmarkEnd w:id="0"/>
          </w:p>
        </w:tc>
        <w:tc>
          <w:tcPr>
            <w:tcW w:w="4337" w:type="dxa"/>
            <w:tcBorders>
              <w:bottom w:val="single" w:sz="4" w:space="0" w:color="auto"/>
            </w:tcBorders>
            <w:tcMar>
              <w:left w:w="0" w:type="dxa"/>
              <w:right w:w="0" w:type="dxa"/>
            </w:tcMar>
          </w:tcPr>
          <w:p w:rsidR="00E504E5" w:rsidRPr="00E842EC" w:rsidRDefault="002C2E2F" w:rsidP="00AB613D">
            <w:r w:rsidRPr="00E842EC">
              <w:rPr>
                <w:noProof/>
                <w:lang w:val="en-US" w:eastAsia="en-US"/>
              </w:rPr>
              <w:drawing>
                <wp:inline distT="0" distB="0" distL="0" distR="0" wp14:anchorId="7A04A286" wp14:editId="1EDBE71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842EC" w:rsidRDefault="00E504E5" w:rsidP="00AB613D">
            <w:pPr>
              <w:jc w:val="right"/>
            </w:pPr>
            <w:r w:rsidRPr="00E842EC">
              <w:rPr>
                <w:b/>
                <w:sz w:val="40"/>
                <w:szCs w:val="40"/>
              </w:rPr>
              <w:t>S</w:t>
            </w:r>
          </w:p>
        </w:tc>
      </w:tr>
      <w:tr w:rsidR="008B2CC1" w:rsidRPr="00E842EC"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842EC" w:rsidRDefault="003C1807" w:rsidP="0032301A">
            <w:pPr>
              <w:jc w:val="right"/>
              <w:rPr>
                <w:rFonts w:ascii="Arial Black" w:hAnsi="Arial Black"/>
                <w:caps/>
                <w:sz w:val="15"/>
              </w:rPr>
            </w:pPr>
            <w:r w:rsidRPr="00E842EC">
              <w:rPr>
                <w:rFonts w:ascii="Arial Black" w:hAnsi="Arial Black"/>
                <w:caps/>
                <w:sz w:val="15"/>
              </w:rPr>
              <w:t>SCCR/3</w:t>
            </w:r>
            <w:r w:rsidR="0032301A" w:rsidRPr="00E842EC">
              <w:rPr>
                <w:rFonts w:ascii="Arial Black" w:hAnsi="Arial Black"/>
                <w:caps/>
                <w:sz w:val="15"/>
              </w:rPr>
              <w:t>7</w:t>
            </w:r>
            <w:r w:rsidRPr="00E842EC">
              <w:rPr>
                <w:rFonts w:ascii="Arial Black" w:hAnsi="Arial Black"/>
                <w:caps/>
                <w:sz w:val="15"/>
              </w:rPr>
              <w:t>/</w:t>
            </w:r>
            <w:bookmarkStart w:id="1" w:name="Code"/>
            <w:bookmarkEnd w:id="1"/>
            <w:r w:rsidR="006029CA" w:rsidRPr="00E842EC">
              <w:rPr>
                <w:rFonts w:ascii="Arial Black" w:hAnsi="Arial Black"/>
                <w:caps/>
                <w:sz w:val="15"/>
              </w:rPr>
              <w:t>2</w:t>
            </w:r>
          </w:p>
        </w:tc>
      </w:tr>
      <w:tr w:rsidR="008B2CC1" w:rsidRPr="00E842EC" w:rsidTr="00AB613D">
        <w:trPr>
          <w:trHeight w:hRule="exact" w:val="170"/>
        </w:trPr>
        <w:tc>
          <w:tcPr>
            <w:tcW w:w="9356" w:type="dxa"/>
            <w:gridSpan w:val="3"/>
            <w:noWrap/>
            <w:tcMar>
              <w:left w:w="0" w:type="dxa"/>
              <w:right w:w="0" w:type="dxa"/>
            </w:tcMar>
            <w:vAlign w:val="bottom"/>
          </w:tcPr>
          <w:p w:rsidR="008B2CC1" w:rsidRPr="00E842EC" w:rsidRDefault="008B2CC1" w:rsidP="0046793F">
            <w:pPr>
              <w:jc w:val="right"/>
              <w:rPr>
                <w:rFonts w:ascii="Arial Black" w:hAnsi="Arial Black"/>
                <w:caps/>
                <w:sz w:val="15"/>
              </w:rPr>
            </w:pPr>
            <w:r w:rsidRPr="00E842EC">
              <w:rPr>
                <w:rFonts w:ascii="Arial Black" w:hAnsi="Arial Black"/>
                <w:caps/>
                <w:sz w:val="15"/>
              </w:rPr>
              <w:t>ORIGINAL:</w:t>
            </w:r>
            <w:r w:rsidR="009A20CD" w:rsidRPr="00E842EC">
              <w:rPr>
                <w:rFonts w:ascii="Arial Black" w:hAnsi="Arial Black"/>
                <w:caps/>
                <w:sz w:val="15"/>
              </w:rPr>
              <w:t xml:space="preserve"> </w:t>
            </w:r>
            <w:bookmarkStart w:id="2" w:name="Original"/>
            <w:bookmarkEnd w:id="2"/>
            <w:r w:rsidR="006029CA" w:rsidRPr="00E842EC">
              <w:rPr>
                <w:rFonts w:ascii="Arial Black" w:hAnsi="Arial Black"/>
                <w:caps/>
                <w:sz w:val="15"/>
              </w:rPr>
              <w:t>INGLÉS</w:t>
            </w:r>
            <w:r w:rsidRPr="00E842EC">
              <w:rPr>
                <w:rFonts w:ascii="Arial Black" w:hAnsi="Arial Black"/>
                <w:caps/>
                <w:sz w:val="15"/>
              </w:rPr>
              <w:t xml:space="preserve"> </w:t>
            </w:r>
          </w:p>
        </w:tc>
      </w:tr>
      <w:tr w:rsidR="008B2CC1" w:rsidRPr="00E842EC" w:rsidTr="00AB613D">
        <w:trPr>
          <w:trHeight w:hRule="exact" w:val="198"/>
        </w:trPr>
        <w:tc>
          <w:tcPr>
            <w:tcW w:w="9356" w:type="dxa"/>
            <w:gridSpan w:val="3"/>
            <w:tcMar>
              <w:left w:w="0" w:type="dxa"/>
              <w:right w:w="0" w:type="dxa"/>
            </w:tcMar>
            <w:vAlign w:val="bottom"/>
          </w:tcPr>
          <w:p w:rsidR="008B2CC1" w:rsidRPr="00E842EC" w:rsidRDefault="00675021" w:rsidP="0046793F">
            <w:pPr>
              <w:jc w:val="right"/>
              <w:rPr>
                <w:rFonts w:ascii="Arial Black" w:hAnsi="Arial Black"/>
                <w:caps/>
                <w:sz w:val="15"/>
              </w:rPr>
            </w:pPr>
            <w:r w:rsidRPr="00E842EC">
              <w:rPr>
                <w:rFonts w:ascii="Arial Black" w:hAnsi="Arial Black"/>
                <w:caps/>
                <w:sz w:val="15"/>
              </w:rPr>
              <w:t>fecha</w:t>
            </w:r>
            <w:r w:rsidR="008B2CC1" w:rsidRPr="00E842EC">
              <w:rPr>
                <w:rFonts w:ascii="Arial Black" w:hAnsi="Arial Black"/>
                <w:caps/>
                <w:sz w:val="15"/>
              </w:rPr>
              <w:t>:</w:t>
            </w:r>
            <w:r w:rsidR="009A20CD" w:rsidRPr="00E842EC">
              <w:rPr>
                <w:rFonts w:ascii="Arial Black" w:hAnsi="Arial Black"/>
                <w:caps/>
                <w:sz w:val="15"/>
              </w:rPr>
              <w:t xml:space="preserve"> </w:t>
            </w:r>
            <w:bookmarkStart w:id="3" w:name="Date"/>
            <w:bookmarkEnd w:id="3"/>
            <w:r w:rsidR="006029CA" w:rsidRPr="00E842EC">
              <w:rPr>
                <w:rFonts w:ascii="Arial Black" w:hAnsi="Arial Black"/>
                <w:caps/>
                <w:sz w:val="15"/>
              </w:rPr>
              <w:t>19 DE SEPTIEMBRE DE 2018</w:t>
            </w:r>
            <w:r w:rsidR="008B2CC1" w:rsidRPr="00E842EC">
              <w:rPr>
                <w:rFonts w:ascii="Arial Black" w:hAnsi="Arial Black"/>
                <w:caps/>
                <w:sz w:val="15"/>
              </w:rPr>
              <w:t xml:space="preserve"> </w:t>
            </w:r>
          </w:p>
        </w:tc>
      </w:tr>
    </w:tbl>
    <w:p w:rsidR="008B2CC1" w:rsidRPr="00E842EC" w:rsidRDefault="008B2CC1" w:rsidP="008B2CC1"/>
    <w:p w:rsidR="008B2CC1" w:rsidRPr="00E842EC" w:rsidRDefault="008B2CC1" w:rsidP="008B2CC1"/>
    <w:p w:rsidR="008B2CC1" w:rsidRPr="00E842EC" w:rsidRDefault="008B2CC1" w:rsidP="008B2CC1"/>
    <w:p w:rsidR="008B2CC1" w:rsidRPr="00E842EC" w:rsidRDefault="008B2CC1" w:rsidP="008B2CC1"/>
    <w:p w:rsidR="008B2CC1" w:rsidRPr="00E842EC" w:rsidRDefault="008B2CC1" w:rsidP="008B2CC1"/>
    <w:p w:rsidR="00B67CDC" w:rsidRPr="00E842EC" w:rsidRDefault="003C1807" w:rsidP="00B67CDC">
      <w:pPr>
        <w:rPr>
          <w:b/>
          <w:sz w:val="28"/>
          <w:szCs w:val="28"/>
        </w:rPr>
      </w:pPr>
      <w:r w:rsidRPr="00E842EC">
        <w:rPr>
          <w:b/>
          <w:sz w:val="28"/>
          <w:szCs w:val="28"/>
        </w:rPr>
        <w:t>Comité Permanente de Derecho de Autor y Derechos Conexos</w:t>
      </w:r>
      <w:r w:rsidR="00B67CDC" w:rsidRPr="00E842EC">
        <w:rPr>
          <w:b/>
          <w:sz w:val="28"/>
          <w:szCs w:val="28"/>
        </w:rPr>
        <w:t xml:space="preserve"> </w:t>
      </w:r>
    </w:p>
    <w:p w:rsidR="003845C1" w:rsidRPr="00E842EC" w:rsidRDefault="003845C1" w:rsidP="003845C1"/>
    <w:p w:rsidR="003845C1" w:rsidRPr="00E842EC" w:rsidRDefault="003845C1" w:rsidP="003845C1"/>
    <w:p w:rsidR="003C1807" w:rsidRPr="00E842EC" w:rsidRDefault="0032301A" w:rsidP="003C1807">
      <w:pPr>
        <w:rPr>
          <w:b/>
          <w:sz w:val="24"/>
          <w:szCs w:val="24"/>
        </w:rPr>
      </w:pPr>
      <w:r w:rsidRPr="00E842EC">
        <w:rPr>
          <w:b/>
          <w:sz w:val="24"/>
          <w:szCs w:val="24"/>
        </w:rPr>
        <w:t>Trigésima séptima</w:t>
      </w:r>
      <w:r w:rsidR="003C1807" w:rsidRPr="00E842EC">
        <w:rPr>
          <w:b/>
          <w:sz w:val="24"/>
          <w:szCs w:val="24"/>
        </w:rPr>
        <w:t xml:space="preserve"> sesión</w:t>
      </w:r>
    </w:p>
    <w:p w:rsidR="008B2CC1" w:rsidRPr="00E842EC" w:rsidRDefault="00B73045" w:rsidP="008B2CC1">
      <w:r w:rsidRPr="00E842EC">
        <w:rPr>
          <w:b/>
          <w:sz w:val="24"/>
          <w:szCs w:val="24"/>
        </w:rPr>
        <w:t>Ginebra, 2</w:t>
      </w:r>
      <w:r w:rsidR="0032301A" w:rsidRPr="00E842EC">
        <w:rPr>
          <w:b/>
          <w:sz w:val="24"/>
          <w:szCs w:val="24"/>
        </w:rPr>
        <w:t>6 a 30 de noviembre de 2018</w:t>
      </w:r>
    </w:p>
    <w:p w:rsidR="008B2CC1" w:rsidRPr="00E842EC" w:rsidRDefault="008B2CC1" w:rsidP="008B2CC1"/>
    <w:p w:rsidR="008B2CC1" w:rsidRPr="00E842EC" w:rsidRDefault="008B2CC1" w:rsidP="008B2CC1"/>
    <w:p w:rsidR="00E842EC" w:rsidRPr="00E842EC" w:rsidRDefault="00E842EC" w:rsidP="00E842EC">
      <w:pPr>
        <w:rPr>
          <w:caps/>
          <w:sz w:val="24"/>
        </w:rPr>
      </w:pPr>
      <w:bookmarkStart w:id="4" w:name="TitleOfDoc"/>
      <w:bookmarkEnd w:id="4"/>
      <w:r w:rsidRPr="00E842EC">
        <w:rPr>
          <w:caps/>
          <w:sz w:val="24"/>
        </w:rPr>
        <w:t>Propuesta de la delegación de la Argentina</w:t>
      </w:r>
    </w:p>
    <w:p w:rsidR="00E842EC" w:rsidRPr="00E842EC" w:rsidRDefault="00E842EC" w:rsidP="00E842EC"/>
    <w:p w:rsidR="00E842EC" w:rsidRPr="00E842EC" w:rsidRDefault="00E842EC" w:rsidP="00E842EC">
      <w:pPr>
        <w:rPr>
          <w:i/>
        </w:rPr>
      </w:pPr>
      <w:bookmarkStart w:id="5" w:name="Prepared"/>
      <w:bookmarkEnd w:id="5"/>
      <w:r w:rsidRPr="00E842EC">
        <w:rPr>
          <w:i/>
          <w:iCs/>
        </w:rPr>
        <w:t>preparada por la delegación de la Argentina</w:t>
      </w:r>
    </w:p>
    <w:p w:rsidR="00E842EC" w:rsidRPr="00E842EC" w:rsidRDefault="00E842EC" w:rsidP="00E842EC"/>
    <w:p w:rsidR="00E842EC" w:rsidRPr="00E842EC" w:rsidRDefault="00E842EC" w:rsidP="00E842EC"/>
    <w:p w:rsidR="00E842EC" w:rsidRPr="00E842EC" w:rsidRDefault="00E842EC" w:rsidP="00E842EC"/>
    <w:p w:rsidR="00E842EC" w:rsidRPr="00E842EC" w:rsidRDefault="00E842EC" w:rsidP="00E842EC"/>
    <w:p w:rsidR="00E842EC" w:rsidRPr="00E842EC" w:rsidRDefault="00E842EC" w:rsidP="00E842EC">
      <w:r w:rsidRPr="00E842EC">
        <w:br w:type="page"/>
      </w:r>
    </w:p>
    <w:p w:rsidR="00E842EC" w:rsidRPr="00E842EC" w:rsidRDefault="00E842EC" w:rsidP="00E842EC">
      <w:pPr>
        <w:rPr>
          <w:rStyle w:val="apple-converted-space"/>
          <w:color w:val="000000"/>
          <w:szCs w:val="22"/>
        </w:rPr>
      </w:pPr>
      <w:r w:rsidRPr="00E842EC">
        <w:rPr>
          <w:color w:val="000000"/>
          <w:szCs w:val="22"/>
        </w:rPr>
        <w:lastRenderedPageBreak/>
        <w:t>1.</w:t>
      </w:r>
      <w:r w:rsidRPr="00E842EC">
        <w:rPr>
          <w:color w:val="000000"/>
          <w:szCs w:val="22"/>
        </w:rPr>
        <w:tab/>
      </w:r>
      <w:r w:rsidRPr="00E842EC">
        <w:rPr>
          <w:szCs w:val="22"/>
        </w:rPr>
        <w:t>Teniendo en cuenta los debates celebrados en el trigésimo sexto período de sesiones del SCCR</w:t>
      </w:r>
      <w:r w:rsidRPr="00E842EC">
        <w:rPr>
          <w:rStyle w:val="apple-converted-space"/>
          <w:color w:val="000000"/>
          <w:szCs w:val="22"/>
        </w:rPr>
        <w:t>, proponemos que las transmisiones diferidas se clasifiquen únicamente en i) transmisiones diferidas equivalentes, y ii) </w:t>
      </w:r>
      <w:r w:rsidRPr="00E842EC">
        <w:rPr>
          <w:color w:val="000000"/>
          <w:szCs w:val="22"/>
        </w:rPr>
        <w:t>otras transmisiones diferidas</w:t>
      </w:r>
      <w:r w:rsidRPr="00E842EC">
        <w:rPr>
          <w:rStyle w:val="apple-converted-space"/>
          <w:color w:val="000000"/>
          <w:szCs w:val="22"/>
        </w:rPr>
        <w:t>.</w:t>
      </w:r>
    </w:p>
    <w:p w:rsidR="00E842EC" w:rsidRPr="00E842EC" w:rsidRDefault="00E842EC" w:rsidP="00E842EC">
      <w:pPr>
        <w:pStyle w:val="xmsobodytext"/>
        <w:spacing w:before="0" w:beforeAutospacing="0" w:after="0" w:afterAutospacing="0"/>
        <w:rPr>
          <w:rStyle w:val="apple-converted-space"/>
          <w:rFonts w:ascii="Arial" w:hAnsi="Arial" w:cs="Arial"/>
          <w:color w:val="000000"/>
          <w:sz w:val="22"/>
          <w:szCs w:val="22"/>
          <w:lang w:val="es-ES"/>
        </w:rPr>
      </w:pPr>
    </w:p>
    <w:p w:rsidR="00E842EC" w:rsidRPr="00E842EC" w:rsidRDefault="00E842EC" w:rsidP="00E842EC">
      <w:pPr>
        <w:pStyle w:val="xmsobodytext"/>
        <w:spacing w:before="0" w:beforeAutospacing="0" w:after="0" w:afterAutospacing="0"/>
        <w:rPr>
          <w:rStyle w:val="apple-converted-space"/>
          <w:rFonts w:ascii="Arial" w:hAnsi="Arial" w:cs="Arial"/>
          <w:color w:val="000000"/>
          <w:sz w:val="22"/>
          <w:szCs w:val="22"/>
          <w:lang w:val="es-ES"/>
        </w:rPr>
      </w:pPr>
      <w:r w:rsidRPr="00E842EC">
        <w:rPr>
          <w:rStyle w:val="apple-converted-space"/>
          <w:rFonts w:ascii="Arial" w:hAnsi="Arial" w:cs="Arial"/>
          <w:color w:val="000000"/>
          <w:sz w:val="22"/>
          <w:szCs w:val="22"/>
          <w:lang w:val="es-ES"/>
        </w:rPr>
        <w:t>2.</w:t>
      </w:r>
      <w:r w:rsidRPr="00E842EC">
        <w:rPr>
          <w:rStyle w:val="apple-converted-space"/>
          <w:rFonts w:ascii="Arial" w:hAnsi="Arial" w:cs="Arial"/>
          <w:color w:val="000000"/>
          <w:sz w:val="22"/>
          <w:szCs w:val="22"/>
          <w:lang w:val="es-ES"/>
        </w:rPr>
        <w:tab/>
        <w:t xml:space="preserve">Las transmisiones diferidas equivalentes son las transmisiones emitidas por un organismo de radiodifusión que se corresponden con sus emisiones lineales y que están disponibles para el público por un número limitado de semanas o meses, como, por ejemplo, las repeticiones en línea, los servicios bajo demanda de programas ya emitidos y las </w:t>
      </w:r>
      <w:r w:rsidRPr="00E842EC">
        <w:rPr>
          <w:rFonts w:ascii="Arial" w:hAnsi="Arial" w:cs="Arial"/>
          <w:sz w:val="22"/>
          <w:szCs w:val="22"/>
          <w:lang w:val="es-ES"/>
        </w:rPr>
        <w:t>previsualizaciones</w:t>
      </w:r>
      <w:r w:rsidRPr="00E842EC">
        <w:rPr>
          <w:rStyle w:val="apple-converted-space"/>
          <w:rFonts w:ascii="Arial" w:hAnsi="Arial" w:cs="Arial"/>
          <w:color w:val="000000"/>
          <w:sz w:val="22"/>
          <w:szCs w:val="22"/>
          <w:lang w:val="es-ES"/>
        </w:rPr>
        <w:t>.</w:t>
      </w:r>
    </w:p>
    <w:p w:rsidR="00E842EC" w:rsidRPr="00E842EC" w:rsidRDefault="00E842EC" w:rsidP="00E842EC">
      <w:pPr>
        <w:pStyle w:val="xmsobodytext"/>
        <w:spacing w:before="0" w:beforeAutospacing="0" w:after="0" w:afterAutospacing="0"/>
        <w:rPr>
          <w:rStyle w:val="apple-converted-space"/>
          <w:rFonts w:ascii="Arial" w:hAnsi="Arial" w:cs="Arial"/>
          <w:color w:val="000000"/>
          <w:sz w:val="22"/>
          <w:szCs w:val="22"/>
          <w:lang w:val="es-ES"/>
        </w:rPr>
      </w:pPr>
    </w:p>
    <w:p w:rsidR="00E842EC" w:rsidRPr="00E842EC" w:rsidRDefault="00E842EC" w:rsidP="00E842EC">
      <w:pPr>
        <w:pStyle w:val="xmsobodytext"/>
        <w:spacing w:before="0" w:beforeAutospacing="0" w:after="0" w:afterAutospacing="0"/>
        <w:rPr>
          <w:lang w:val="es-ES"/>
        </w:rPr>
      </w:pPr>
      <w:r w:rsidRPr="00E842EC">
        <w:rPr>
          <w:rStyle w:val="apple-converted-space"/>
          <w:rFonts w:ascii="Arial" w:hAnsi="Arial" w:cs="Arial"/>
          <w:color w:val="000000"/>
          <w:sz w:val="22"/>
          <w:szCs w:val="22"/>
          <w:lang w:val="es-ES"/>
        </w:rPr>
        <w:t>3.</w:t>
      </w:r>
      <w:r w:rsidRPr="00E842EC">
        <w:rPr>
          <w:rStyle w:val="apple-converted-space"/>
          <w:rFonts w:ascii="Arial" w:hAnsi="Arial" w:cs="Arial"/>
          <w:color w:val="000000"/>
          <w:sz w:val="22"/>
          <w:szCs w:val="22"/>
          <w:lang w:val="es-ES"/>
        </w:rPr>
        <w:tab/>
      </w:r>
      <w:r w:rsidRPr="00E842EC">
        <w:rPr>
          <w:rFonts w:ascii="Arial" w:hAnsi="Arial" w:cs="Arial"/>
          <w:color w:val="000000"/>
          <w:sz w:val="22"/>
          <w:szCs w:val="22"/>
          <w:lang w:val="es-ES"/>
        </w:rPr>
        <w:t>A la luz de lo que antecede, proponemos las siguientes enmiendas en la parte B del documento SCCR/36/6:</w:t>
      </w:r>
    </w:p>
    <w:p w:rsidR="00E842EC" w:rsidRPr="003F5BC5" w:rsidRDefault="00E842EC" w:rsidP="00E842EC">
      <w:pPr>
        <w:pStyle w:val="xmsobodytext"/>
        <w:spacing w:before="0" w:beforeAutospacing="0" w:after="0" w:afterAutospacing="0"/>
        <w:rPr>
          <w:rFonts w:ascii="Arial" w:hAnsi="Arial" w:cs="Arial"/>
          <w:color w:val="000000"/>
          <w:sz w:val="16"/>
          <w:szCs w:val="16"/>
          <w:lang w:val="es-ES"/>
        </w:rPr>
      </w:pPr>
    </w:p>
    <w:p w:rsidR="00E842EC" w:rsidRPr="003F5BC5" w:rsidRDefault="00E842EC" w:rsidP="00E842EC">
      <w:pPr>
        <w:pStyle w:val="xmsobodytext"/>
        <w:spacing w:before="0" w:beforeAutospacing="0" w:after="0" w:afterAutospacing="0"/>
        <w:rPr>
          <w:rFonts w:ascii="Arial" w:hAnsi="Arial" w:cs="Arial"/>
          <w:color w:val="000000"/>
          <w:sz w:val="16"/>
          <w:szCs w:val="16"/>
          <w:lang w:val="es-ES"/>
        </w:rPr>
      </w:pPr>
    </w:p>
    <w:p w:rsidR="00E842EC" w:rsidRPr="00E842EC" w:rsidRDefault="00E842EC" w:rsidP="00E842EC">
      <w:pPr>
        <w:pStyle w:val="xmsobodytext"/>
        <w:numPr>
          <w:ilvl w:val="0"/>
          <w:numId w:val="10"/>
        </w:numPr>
        <w:tabs>
          <w:tab w:val="left" w:pos="0"/>
        </w:tabs>
        <w:spacing w:before="0" w:beforeAutospacing="0" w:after="0" w:afterAutospacing="0"/>
        <w:ind w:left="567" w:hanging="567"/>
        <w:rPr>
          <w:rFonts w:ascii="Arial" w:hAnsi="Arial" w:cs="Arial"/>
          <w:b/>
          <w:color w:val="000000"/>
          <w:sz w:val="22"/>
          <w:szCs w:val="22"/>
          <w:lang w:val="es-ES"/>
        </w:rPr>
      </w:pPr>
      <w:r w:rsidRPr="00E842EC">
        <w:rPr>
          <w:rFonts w:ascii="Arial" w:hAnsi="Arial" w:cs="Arial"/>
          <w:b/>
          <w:bCs/>
          <w:color w:val="000000"/>
          <w:sz w:val="22"/>
          <w:szCs w:val="22"/>
          <w:lang w:val="es-ES"/>
        </w:rPr>
        <w:t>DEFINICIONES</w:t>
      </w:r>
    </w:p>
    <w:p w:rsidR="00E842EC" w:rsidRPr="00E842EC" w:rsidRDefault="00E842EC" w:rsidP="00E842EC">
      <w:pPr>
        <w:pStyle w:val="xmsobodytext"/>
        <w:spacing w:before="0" w:beforeAutospacing="0" w:after="0" w:afterAutospacing="0"/>
        <w:rPr>
          <w:rFonts w:ascii="Arial" w:hAnsi="Arial" w:cs="Arial"/>
          <w:color w:val="000000"/>
          <w:sz w:val="22"/>
          <w:szCs w:val="22"/>
          <w:lang w:val="es-ES"/>
        </w:rPr>
      </w:pPr>
    </w:p>
    <w:p w:rsidR="00E842EC" w:rsidRPr="00E842EC" w:rsidRDefault="00E842EC" w:rsidP="00E842EC">
      <w:pPr>
        <w:pStyle w:val="xmsobodytext"/>
        <w:numPr>
          <w:ilvl w:val="0"/>
          <w:numId w:val="11"/>
        </w:numPr>
        <w:spacing w:before="0" w:beforeAutospacing="0" w:after="0" w:afterAutospacing="0"/>
        <w:ind w:left="1134" w:hanging="567"/>
        <w:rPr>
          <w:rFonts w:ascii="Arial" w:hAnsi="Arial" w:cs="Arial"/>
          <w:color w:val="000000"/>
          <w:sz w:val="22"/>
          <w:szCs w:val="22"/>
          <w:lang w:val="es-ES"/>
        </w:rPr>
      </w:pPr>
      <w:r w:rsidRPr="00E842EC">
        <w:rPr>
          <w:rFonts w:ascii="Arial" w:hAnsi="Arial" w:cs="Arial"/>
          <w:color w:val="000000"/>
          <w:sz w:val="22"/>
          <w:szCs w:val="22"/>
          <w:lang w:val="es-ES"/>
        </w:rPr>
        <w:t>Modificar la definición que figura en h) “transmisión diferida equivalente” en los términos siguientes:</w:t>
      </w:r>
    </w:p>
    <w:p w:rsidR="00E842EC" w:rsidRPr="00E842EC" w:rsidRDefault="00E842EC" w:rsidP="00E842EC">
      <w:pPr>
        <w:pStyle w:val="xmsobodytext"/>
        <w:spacing w:before="0" w:beforeAutospacing="0" w:after="0" w:afterAutospacing="0"/>
        <w:ind w:left="1134" w:hanging="567"/>
        <w:rPr>
          <w:rFonts w:ascii="Arial" w:hAnsi="Arial" w:cs="Arial"/>
          <w:color w:val="000000"/>
          <w:sz w:val="22"/>
          <w:szCs w:val="22"/>
          <w:lang w:val="es-ES"/>
        </w:rPr>
      </w:pPr>
    </w:p>
    <w:p w:rsidR="00E842EC" w:rsidRPr="00E842EC" w:rsidRDefault="00E842EC" w:rsidP="00E842EC">
      <w:pPr>
        <w:pStyle w:val="xmsobodytext"/>
        <w:spacing w:before="0" w:beforeAutospacing="0" w:after="0" w:afterAutospacing="0"/>
        <w:ind w:left="1134"/>
        <w:rPr>
          <w:rFonts w:ascii="Arial" w:hAnsi="Arial" w:cs="Arial"/>
          <w:color w:val="000000"/>
          <w:sz w:val="22"/>
          <w:szCs w:val="22"/>
          <w:lang w:val="es-ES"/>
        </w:rPr>
      </w:pPr>
      <w:r w:rsidRPr="00E842EC">
        <w:rPr>
          <w:rFonts w:ascii="Arial" w:hAnsi="Arial" w:cs="Arial"/>
          <w:color w:val="000000"/>
          <w:sz w:val="22"/>
          <w:szCs w:val="22"/>
          <w:lang w:val="es-ES"/>
        </w:rPr>
        <w:t xml:space="preserve">h) por “transmisión diferida equivalente” se entenderá la emisión de una transmisión diferida por un organismo de radiodifusión que se corresponde con sus emisiones lineales y solo está disponible para el público </w:t>
      </w:r>
      <w:r w:rsidRPr="00E842EC">
        <w:rPr>
          <w:rStyle w:val="apple-converted-space"/>
          <w:rFonts w:ascii="Arial" w:hAnsi="Arial" w:cs="Arial"/>
          <w:color w:val="000000"/>
          <w:sz w:val="22"/>
          <w:szCs w:val="22"/>
          <w:lang w:val="es-ES"/>
        </w:rPr>
        <w:t xml:space="preserve"> por un número limitado de semanas o meses</w:t>
      </w:r>
      <w:r w:rsidRPr="00E842EC">
        <w:rPr>
          <w:rFonts w:ascii="Arial" w:hAnsi="Arial" w:cs="Arial"/>
          <w:color w:val="000000"/>
          <w:sz w:val="22"/>
          <w:szCs w:val="22"/>
          <w:lang w:val="es-ES"/>
        </w:rPr>
        <w:t>.</w:t>
      </w:r>
      <w:r w:rsidRPr="00E842EC">
        <w:rPr>
          <w:rStyle w:val="FootnoteReference"/>
          <w:rFonts w:ascii="Arial" w:hAnsi="Arial" w:cs="Arial"/>
          <w:color w:val="000000"/>
          <w:sz w:val="22"/>
          <w:szCs w:val="22"/>
          <w:lang w:val="es-ES"/>
        </w:rPr>
        <w:footnoteReference w:id="2"/>
      </w:r>
      <w:r w:rsidRPr="00E842EC">
        <w:rPr>
          <w:rStyle w:val="FootnoteReference"/>
          <w:rFonts w:ascii="Arial" w:hAnsi="Arial" w:cs="Arial"/>
          <w:color w:val="000000"/>
          <w:sz w:val="22"/>
          <w:szCs w:val="22"/>
          <w:lang w:val="es-ES"/>
        </w:rPr>
        <w:footnoteReference w:id="3"/>
      </w:r>
    </w:p>
    <w:p w:rsidR="00E842EC" w:rsidRPr="00E842EC" w:rsidRDefault="00E842EC" w:rsidP="00E842EC">
      <w:pPr>
        <w:pStyle w:val="xmsobodytext"/>
        <w:spacing w:before="0" w:beforeAutospacing="0" w:after="0" w:afterAutospacing="0"/>
        <w:ind w:left="1134" w:hanging="567"/>
        <w:rPr>
          <w:rFonts w:ascii="Arial" w:hAnsi="Arial" w:cs="Arial"/>
          <w:color w:val="000000"/>
          <w:sz w:val="22"/>
          <w:szCs w:val="22"/>
          <w:lang w:val="es-ES"/>
        </w:rPr>
      </w:pPr>
    </w:p>
    <w:p w:rsidR="00E842EC" w:rsidRPr="00E842EC" w:rsidRDefault="00E842EC" w:rsidP="00E842EC">
      <w:pPr>
        <w:pStyle w:val="xmsobodytext"/>
        <w:numPr>
          <w:ilvl w:val="0"/>
          <w:numId w:val="11"/>
        </w:numPr>
        <w:spacing w:before="0" w:beforeAutospacing="0" w:after="0" w:afterAutospacing="0"/>
        <w:ind w:left="1134" w:hanging="567"/>
        <w:rPr>
          <w:rFonts w:ascii="Arial" w:hAnsi="Arial" w:cs="Arial"/>
          <w:color w:val="000000"/>
          <w:sz w:val="22"/>
          <w:szCs w:val="22"/>
          <w:lang w:val="es-ES"/>
        </w:rPr>
      </w:pPr>
      <w:r w:rsidRPr="00E842EC">
        <w:rPr>
          <w:rFonts w:ascii="Arial" w:hAnsi="Arial" w:cs="Arial"/>
          <w:color w:val="000000"/>
          <w:sz w:val="22"/>
          <w:szCs w:val="22"/>
          <w:lang w:val="es-ES"/>
        </w:rPr>
        <w:t>Suprimir las definiciones i) “transmisión diferida estrechamente relacionada” y j) “transmisión diferida no relacionada”.</w:t>
      </w:r>
    </w:p>
    <w:p w:rsidR="00E842EC" w:rsidRPr="003F5BC5" w:rsidRDefault="00E842EC" w:rsidP="00E842EC">
      <w:pPr>
        <w:pStyle w:val="xmsobodytext"/>
        <w:spacing w:before="0" w:beforeAutospacing="0" w:after="0" w:afterAutospacing="0"/>
        <w:rPr>
          <w:rFonts w:ascii="Arial" w:hAnsi="Arial" w:cs="Arial"/>
          <w:color w:val="000000"/>
          <w:sz w:val="16"/>
          <w:szCs w:val="16"/>
          <w:lang w:val="es-ES"/>
        </w:rPr>
      </w:pPr>
    </w:p>
    <w:p w:rsidR="00E842EC" w:rsidRPr="003F5BC5" w:rsidRDefault="00E842EC" w:rsidP="00E842EC">
      <w:pPr>
        <w:pStyle w:val="xmsobodytext"/>
        <w:spacing w:before="0" w:beforeAutospacing="0" w:after="0" w:afterAutospacing="0"/>
        <w:rPr>
          <w:rFonts w:ascii="Arial" w:hAnsi="Arial" w:cs="Arial"/>
          <w:color w:val="000000"/>
          <w:sz w:val="16"/>
          <w:szCs w:val="16"/>
          <w:lang w:val="es-ES"/>
        </w:rPr>
      </w:pPr>
    </w:p>
    <w:p w:rsidR="00E842EC" w:rsidRPr="00E842EC" w:rsidRDefault="00E842EC" w:rsidP="00E842EC">
      <w:pPr>
        <w:pStyle w:val="xmsobodytext"/>
        <w:numPr>
          <w:ilvl w:val="0"/>
          <w:numId w:val="10"/>
        </w:numPr>
        <w:spacing w:before="0" w:beforeAutospacing="0" w:after="0" w:afterAutospacing="0"/>
        <w:ind w:left="567" w:hanging="567"/>
        <w:rPr>
          <w:rFonts w:ascii="Arial" w:hAnsi="Arial" w:cs="Arial"/>
          <w:b/>
          <w:color w:val="000000"/>
          <w:sz w:val="22"/>
          <w:szCs w:val="22"/>
          <w:lang w:val="es-ES"/>
        </w:rPr>
      </w:pPr>
      <w:r w:rsidRPr="00E842EC">
        <w:rPr>
          <w:rFonts w:ascii="Arial" w:hAnsi="Arial" w:cs="Arial"/>
          <w:b/>
          <w:bCs/>
          <w:color w:val="000000"/>
          <w:sz w:val="22"/>
          <w:szCs w:val="22"/>
          <w:lang w:val="es-ES"/>
        </w:rPr>
        <w:t>OBJETO DE PROTECCIÓN (Alternativa B)</w:t>
      </w:r>
    </w:p>
    <w:p w:rsidR="00E842EC" w:rsidRPr="00E842EC" w:rsidRDefault="00E842EC" w:rsidP="00E842EC">
      <w:pPr>
        <w:pStyle w:val="xmsobodytext"/>
        <w:spacing w:before="0" w:beforeAutospacing="0" w:after="0" w:afterAutospacing="0"/>
        <w:rPr>
          <w:rFonts w:ascii="Arial" w:hAnsi="Arial" w:cs="Arial"/>
          <w:color w:val="000000"/>
          <w:sz w:val="22"/>
          <w:szCs w:val="22"/>
          <w:lang w:val="es-ES"/>
        </w:rPr>
      </w:pPr>
    </w:p>
    <w:p w:rsidR="00E842EC" w:rsidRPr="00E842EC" w:rsidRDefault="00E842EC" w:rsidP="00E842EC">
      <w:pPr>
        <w:pStyle w:val="xmsobodytext"/>
        <w:numPr>
          <w:ilvl w:val="0"/>
          <w:numId w:val="11"/>
        </w:numPr>
        <w:spacing w:before="0" w:beforeAutospacing="0" w:after="0" w:afterAutospacing="0"/>
        <w:ind w:left="1134" w:hanging="567"/>
        <w:rPr>
          <w:rFonts w:ascii="Arial" w:hAnsi="Arial" w:cs="Arial"/>
          <w:color w:val="000000"/>
          <w:sz w:val="22"/>
          <w:szCs w:val="22"/>
          <w:lang w:val="es-ES"/>
        </w:rPr>
      </w:pPr>
      <w:r w:rsidRPr="00E842EC">
        <w:rPr>
          <w:rFonts w:ascii="Arial" w:hAnsi="Arial" w:cs="Arial"/>
          <w:color w:val="000000"/>
          <w:sz w:val="22"/>
          <w:szCs w:val="22"/>
          <w:lang w:val="es-ES"/>
        </w:rPr>
        <w:t>Modificar el párrafo 4) en los términos siguientes:</w:t>
      </w:r>
    </w:p>
    <w:p w:rsidR="00E842EC" w:rsidRPr="00E842EC" w:rsidRDefault="00E842EC" w:rsidP="00E842EC">
      <w:pPr>
        <w:pStyle w:val="xmsobodytext"/>
        <w:spacing w:before="0" w:beforeAutospacing="0" w:after="0" w:afterAutospacing="0"/>
        <w:ind w:left="360"/>
        <w:rPr>
          <w:rFonts w:ascii="Arial" w:hAnsi="Arial" w:cs="Arial"/>
          <w:color w:val="000000"/>
          <w:sz w:val="22"/>
          <w:szCs w:val="22"/>
          <w:lang w:val="es-ES"/>
        </w:rPr>
      </w:pPr>
    </w:p>
    <w:p w:rsidR="00E842EC" w:rsidRPr="00E842EC" w:rsidRDefault="00E842EC" w:rsidP="00E842EC">
      <w:pPr>
        <w:pStyle w:val="xmsobodytext"/>
        <w:numPr>
          <w:ilvl w:val="0"/>
          <w:numId w:val="12"/>
        </w:numPr>
        <w:spacing w:before="0" w:beforeAutospacing="0" w:after="0" w:afterAutospacing="0"/>
        <w:ind w:left="567" w:hanging="567"/>
        <w:rPr>
          <w:rFonts w:ascii="Arial" w:hAnsi="Arial" w:cs="Arial"/>
          <w:color w:val="000000"/>
          <w:sz w:val="22"/>
          <w:szCs w:val="22"/>
          <w:lang w:val="es-ES"/>
        </w:rPr>
      </w:pPr>
      <w:r w:rsidRPr="00E842EC">
        <w:rPr>
          <w:rFonts w:ascii="Arial" w:hAnsi="Arial" w:cs="Arial"/>
          <w:color w:val="000000"/>
          <w:sz w:val="22"/>
          <w:szCs w:val="22"/>
          <w:lang w:val="es-ES"/>
        </w:rPr>
        <w:t>i)</w:t>
      </w:r>
      <w:r w:rsidRPr="00E842EC">
        <w:rPr>
          <w:rFonts w:ascii="Arial" w:hAnsi="Arial" w:cs="Arial"/>
          <w:color w:val="000000"/>
          <w:sz w:val="22"/>
          <w:szCs w:val="22"/>
          <w:lang w:val="es-ES"/>
        </w:rPr>
        <w:tab/>
        <w:t>Los organismos de radiodifusión podrán disfrutar de protección para todas las otras transmisiones diferidas.</w:t>
      </w:r>
    </w:p>
    <w:p w:rsidR="00E842EC" w:rsidRPr="00E842EC" w:rsidRDefault="00E842EC" w:rsidP="00E842EC">
      <w:pPr>
        <w:pStyle w:val="xmsobodytext"/>
        <w:spacing w:before="0" w:beforeAutospacing="0" w:after="0" w:afterAutospacing="0"/>
        <w:ind w:left="1080"/>
        <w:rPr>
          <w:rFonts w:ascii="Arial" w:hAnsi="Arial" w:cs="Arial"/>
          <w:color w:val="000000"/>
          <w:sz w:val="22"/>
          <w:szCs w:val="22"/>
          <w:lang w:val="es-ES"/>
        </w:rPr>
      </w:pPr>
    </w:p>
    <w:p w:rsidR="00E842EC" w:rsidRPr="00E842EC" w:rsidRDefault="00E842EC" w:rsidP="00E842EC">
      <w:pPr>
        <w:pStyle w:val="xmsobodytext"/>
        <w:spacing w:before="0" w:beforeAutospacing="0" w:after="0" w:afterAutospacing="0"/>
        <w:ind w:left="1080"/>
        <w:rPr>
          <w:rFonts w:ascii="Arial" w:hAnsi="Arial" w:cs="Arial"/>
          <w:color w:val="000000"/>
          <w:sz w:val="22"/>
          <w:szCs w:val="22"/>
          <w:lang w:val="es-ES"/>
        </w:rPr>
      </w:pPr>
      <w:r w:rsidRPr="00E842EC">
        <w:rPr>
          <w:rFonts w:ascii="Arial" w:hAnsi="Arial" w:cs="Arial"/>
          <w:color w:val="000000"/>
          <w:sz w:val="22"/>
          <w:szCs w:val="22"/>
          <w:lang w:val="es-ES"/>
        </w:rPr>
        <w:t xml:space="preserve">ii) </w:t>
      </w:r>
      <w:r w:rsidRPr="00E842EC">
        <w:rPr>
          <w:rFonts w:ascii="Arial" w:hAnsi="Arial" w:cs="Arial"/>
          <w:color w:val="000000"/>
          <w:sz w:val="22"/>
          <w:szCs w:val="22"/>
          <w:lang w:val="es-ES"/>
        </w:rPr>
        <w:tab/>
        <w:t>Una Parte Contratante podrá disponer que un organismo de radiodifusión de otra Parte Contratante disfrute del derecho mencionado en el apartado i) anterior únicamente si la legislación de esa otra Parte Contratante concede una protección similar.</w:t>
      </w:r>
    </w:p>
    <w:p w:rsidR="00E842EC" w:rsidRPr="00E842EC" w:rsidRDefault="00E842EC" w:rsidP="00E842EC">
      <w:pPr>
        <w:pStyle w:val="xmsobodytext"/>
        <w:spacing w:before="0" w:beforeAutospacing="0" w:after="0" w:afterAutospacing="0"/>
        <w:ind w:left="1080"/>
        <w:rPr>
          <w:rFonts w:ascii="Arial" w:hAnsi="Arial" w:cs="Arial"/>
          <w:color w:val="000000"/>
          <w:sz w:val="22"/>
          <w:szCs w:val="22"/>
          <w:lang w:val="es-ES"/>
        </w:rPr>
      </w:pPr>
    </w:p>
    <w:p w:rsidR="00E842EC" w:rsidRPr="00E842EC" w:rsidRDefault="00E842EC" w:rsidP="00E07239">
      <w:pPr>
        <w:pStyle w:val="xmsobodytext"/>
        <w:keepNext/>
        <w:numPr>
          <w:ilvl w:val="0"/>
          <w:numId w:val="11"/>
        </w:numPr>
        <w:tabs>
          <w:tab w:val="left" w:pos="567"/>
        </w:tabs>
        <w:spacing w:before="0" w:beforeAutospacing="0" w:after="0" w:afterAutospacing="0"/>
        <w:ind w:left="1134" w:hanging="567"/>
        <w:rPr>
          <w:rFonts w:ascii="Arial" w:hAnsi="Arial" w:cs="Arial"/>
          <w:color w:val="000000"/>
          <w:sz w:val="22"/>
          <w:szCs w:val="22"/>
          <w:lang w:val="es-ES"/>
        </w:rPr>
      </w:pPr>
      <w:r w:rsidRPr="00E842EC">
        <w:rPr>
          <w:rFonts w:ascii="Arial" w:hAnsi="Arial" w:cs="Arial"/>
          <w:color w:val="000000"/>
          <w:sz w:val="22"/>
          <w:szCs w:val="22"/>
          <w:lang w:val="es-ES"/>
        </w:rPr>
        <w:t>Suprimir el párrafo 3); el párrafo 4), en la forma enmendada que se propone, se convierte en el nuevo párrafo 3).</w:t>
      </w:r>
    </w:p>
    <w:p w:rsidR="00E842EC" w:rsidRDefault="00E842EC" w:rsidP="00E07239">
      <w:pPr>
        <w:pStyle w:val="xmsobodytext"/>
        <w:keepNext/>
        <w:spacing w:before="0" w:beforeAutospacing="0" w:after="0" w:afterAutospacing="0"/>
        <w:rPr>
          <w:rFonts w:ascii="Arial" w:hAnsi="Arial" w:cs="Arial"/>
          <w:color w:val="000000"/>
          <w:sz w:val="22"/>
          <w:szCs w:val="22"/>
          <w:lang w:val="es-ES"/>
        </w:rPr>
      </w:pPr>
    </w:p>
    <w:p w:rsidR="003F5BC5" w:rsidRPr="00E842EC" w:rsidRDefault="003F5BC5" w:rsidP="00E07239">
      <w:pPr>
        <w:pStyle w:val="xmsobodytext"/>
        <w:keepNext/>
        <w:spacing w:before="0" w:beforeAutospacing="0" w:after="0" w:afterAutospacing="0"/>
        <w:rPr>
          <w:rFonts w:ascii="Arial" w:hAnsi="Arial" w:cs="Arial"/>
          <w:color w:val="000000"/>
          <w:sz w:val="22"/>
          <w:szCs w:val="22"/>
          <w:lang w:val="es-ES"/>
        </w:rPr>
      </w:pPr>
    </w:p>
    <w:p w:rsidR="00E842EC" w:rsidRPr="00E842EC" w:rsidRDefault="00E842EC" w:rsidP="00E07239">
      <w:pPr>
        <w:keepNext/>
        <w:ind w:left="4248" w:firstLine="997"/>
        <w:rPr>
          <w:szCs w:val="22"/>
        </w:rPr>
      </w:pPr>
      <w:r w:rsidRPr="00E842EC">
        <w:rPr>
          <w:szCs w:val="22"/>
        </w:rPr>
        <w:t>[Fin del documento]</w:t>
      </w:r>
    </w:p>
    <w:sectPr w:rsidR="00E842EC" w:rsidRPr="00E842EC" w:rsidSect="006029C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CE" w:rsidRDefault="006837CE">
      <w:r>
        <w:separator/>
      </w:r>
    </w:p>
  </w:endnote>
  <w:endnote w:type="continuationSeparator" w:id="0">
    <w:p w:rsidR="006837CE" w:rsidRPr="009D30E6" w:rsidRDefault="006837CE" w:rsidP="007E663E">
      <w:pPr>
        <w:rPr>
          <w:sz w:val="17"/>
          <w:szCs w:val="17"/>
        </w:rPr>
      </w:pPr>
      <w:r w:rsidRPr="009D30E6">
        <w:rPr>
          <w:sz w:val="17"/>
          <w:szCs w:val="17"/>
        </w:rPr>
        <w:separator/>
      </w:r>
    </w:p>
    <w:p w:rsidR="006837CE" w:rsidRPr="007E663E" w:rsidRDefault="006837CE" w:rsidP="007E663E">
      <w:pPr>
        <w:spacing w:after="60"/>
        <w:rPr>
          <w:sz w:val="17"/>
          <w:szCs w:val="17"/>
        </w:rPr>
      </w:pPr>
      <w:r>
        <w:rPr>
          <w:sz w:val="17"/>
        </w:rPr>
        <w:t>[Continuación de la nota de la página anterior]</w:t>
      </w:r>
    </w:p>
  </w:endnote>
  <w:endnote w:type="continuationNotice" w:id="1">
    <w:p w:rsidR="006837CE" w:rsidRPr="007E663E" w:rsidRDefault="006837C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CE" w:rsidRDefault="006837CE">
      <w:r>
        <w:separator/>
      </w:r>
    </w:p>
  </w:footnote>
  <w:footnote w:type="continuationSeparator" w:id="0">
    <w:p w:rsidR="006837CE" w:rsidRPr="009D30E6" w:rsidRDefault="006837CE" w:rsidP="007E663E">
      <w:pPr>
        <w:rPr>
          <w:sz w:val="17"/>
          <w:szCs w:val="17"/>
        </w:rPr>
      </w:pPr>
      <w:r w:rsidRPr="009D30E6">
        <w:rPr>
          <w:sz w:val="17"/>
          <w:szCs w:val="17"/>
        </w:rPr>
        <w:separator/>
      </w:r>
    </w:p>
    <w:p w:rsidR="006837CE" w:rsidRPr="007E663E" w:rsidRDefault="006837CE" w:rsidP="007E663E">
      <w:pPr>
        <w:spacing w:after="60"/>
        <w:rPr>
          <w:sz w:val="17"/>
          <w:szCs w:val="17"/>
        </w:rPr>
      </w:pPr>
      <w:r>
        <w:rPr>
          <w:sz w:val="17"/>
        </w:rPr>
        <w:t>[Continuación de la nota de la página anterior]</w:t>
      </w:r>
    </w:p>
  </w:footnote>
  <w:footnote w:type="continuationNotice" w:id="1">
    <w:p w:rsidR="006837CE" w:rsidRPr="007E663E" w:rsidRDefault="006837CE" w:rsidP="007E663E">
      <w:pPr>
        <w:spacing w:before="60"/>
        <w:jc w:val="right"/>
        <w:rPr>
          <w:sz w:val="17"/>
          <w:szCs w:val="17"/>
        </w:rPr>
      </w:pPr>
      <w:r w:rsidRPr="007E663E">
        <w:rPr>
          <w:sz w:val="17"/>
          <w:szCs w:val="17"/>
        </w:rPr>
        <w:t>[Sigue la nota en la página siguiente]</w:t>
      </w:r>
    </w:p>
  </w:footnote>
  <w:footnote w:id="2">
    <w:p w:rsidR="00E842EC" w:rsidRDefault="00E842EC" w:rsidP="003F5BC5">
      <w:pPr>
        <w:pStyle w:val="FootnoteText"/>
        <w:rPr>
          <w:sz w:val="20"/>
        </w:rPr>
      </w:pPr>
      <w:r>
        <w:rPr>
          <w:rStyle w:val="FootnoteReference"/>
          <w:sz w:val="20"/>
        </w:rPr>
        <w:footnoteRef/>
      </w:r>
      <w:r>
        <w:rPr>
          <w:b/>
          <w:bCs/>
          <w:i/>
          <w:iCs/>
          <w:sz w:val="20"/>
        </w:rPr>
        <w:t xml:space="preserve"> </w:t>
      </w:r>
      <w:bookmarkStart w:id="6" w:name="_Hlk523301492"/>
      <w:r>
        <w:rPr>
          <w:b/>
          <w:bCs/>
          <w:i/>
          <w:iCs/>
          <w:sz w:val="20"/>
        </w:rPr>
        <w:t xml:space="preserve">Declaración concertada en relación con </w:t>
      </w:r>
      <w:bookmarkEnd w:id="6"/>
      <w:r>
        <w:rPr>
          <w:b/>
          <w:bCs/>
          <w:i/>
          <w:iCs/>
          <w:sz w:val="20"/>
        </w:rPr>
        <w:t>“transmisiones diferidas equivalentes” y “otras transmisiones diferidas”</w:t>
      </w:r>
      <w:r>
        <w:rPr>
          <w:i/>
          <w:iCs/>
          <w:sz w:val="20"/>
        </w:rPr>
        <w:t>:</w:t>
      </w:r>
      <w:r>
        <w:rPr>
          <w:sz w:val="20"/>
        </w:rPr>
        <w:t xml:space="preserve"> </w:t>
      </w:r>
      <w:r>
        <w:rPr>
          <w:i/>
          <w:iCs/>
          <w:sz w:val="20"/>
        </w:rPr>
        <w:t>las transmisiones diferidas equivalentes incluyen las repeticiones en línea, los servicios bajo demanda de programas ya emitidos y las previsualizaciones. Las otras transmisiones diferidas incluyen los partidos disputados en paralelo, el material extra sobre noticias o programas, las secuencias detrás de cámara, los canales de transmisión en continuo exclusivamente bajo demanda y los catálogos de obras bajo demanda</w:t>
      </w:r>
      <w:r>
        <w:rPr>
          <w:sz w:val="20"/>
        </w:rPr>
        <w:t>.</w:t>
      </w:r>
    </w:p>
  </w:footnote>
  <w:footnote w:id="3">
    <w:p w:rsidR="00E842EC" w:rsidRDefault="00E842EC" w:rsidP="003F5BC5">
      <w:pPr>
        <w:pStyle w:val="FootnoteText"/>
      </w:pPr>
      <w:r>
        <w:rPr>
          <w:rStyle w:val="FootnoteReference"/>
        </w:rPr>
        <w:footnoteRef/>
      </w:r>
      <w:r>
        <w:t xml:space="preserve"> </w:t>
      </w:r>
      <w:r>
        <w:rPr>
          <w:b/>
          <w:bCs/>
          <w:i/>
          <w:iCs/>
          <w:sz w:val="20"/>
        </w:rPr>
        <w:t>Declaración concertada en relación con “por un número limitado de semanas o meses”</w:t>
      </w:r>
      <w:r>
        <w:rPr>
          <w:i/>
          <w:iCs/>
          <w:sz w:val="20"/>
        </w:rPr>
        <w:t>:</w:t>
      </w:r>
      <w:r>
        <w:t xml:space="preserve"> </w:t>
      </w:r>
      <w:r>
        <w:rPr>
          <w:i/>
          <w:iCs/>
          <w:sz w:val="20"/>
        </w:rPr>
        <w:t>se utiliza deliberadamente en la definición para mantener los distintos usos de la industria en todo el mundo en cuanto a la prolongación en el tiempo de los servicios de programas ya emitidos y las repeticiones en línea.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6029CA" w:rsidP="00477D6B">
    <w:pPr>
      <w:jc w:val="right"/>
    </w:pPr>
    <w:bookmarkStart w:id="7" w:name="Code2"/>
    <w:bookmarkEnd w:id="7"/>
    <w:r>
      <w:t>SCCR/37/2</w:t>
    </w:r>
  </w:p>
  <w:p w:rsidR="00AE7F20" w:rsidRDefault="00AE7F20" w:rsidP="00477D6B">
    <w:pPr>
      <w:jc w:val="right"/>
    </w:pPr>
    <w:r>
      <w:t xml:space="preserve">página </w:t>
    </w:r>
    <w:r>
      <w:fldChar w:fldCharType="begin"/>
    </w:r>
    <w:r>
      <w:instrText xml:space="preserve"> PAGE  \* MERGEFORMAT </w:instrText>
    </w:r>
    <w:r>
      <w:fldChar w:fldCharType="separate"/>
    </w:r>
    <w:r w:rsidR="00270805">
      <w:rPr>
        <w:noProof/>
      </w:rPr>
      <w:t>2</w:t>
    </w:r>
    <w:r>
      <w:fldChar w:fldCharType="end"/>
    </w: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D30E83"/>
    <w:multiLevelType w:val="hybridMultilevel"/>
    <w:tmpl w:val="9A32F946"/>
    <w:lvl w:ilvl="0" w:tplc="1D50FE68">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DB10A1"/>
    <w:multiLevelType w:val="hybridMultilevel"/>
    <w:tmpl w:val="0DACC97A"/>
    <w:lvl w:ilvl="0" w:tplc="B1B273E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82695D"/>
    <w:multiLevelType w:val="hybridMultilevel"/>
    <w:tmpl w:val="1FC63EEA"/>
    <w:lvl w:ilvl="0" w:tplc="5D3A05B4">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A"/>
    <w:rsid w:val="00010686"/>
    <w:rsid w:val="00052915"/>
    <w:rsid w:val="000E3BB3"/>
    <w:rsid w:val="000F5E56"/>
    <w:rsid w:val="001362EE"/>
    <w:rsid w:val="00152CEA"/>
    <w:rsid w:val="001832A6"/>
    <w:rsid w:val="002634C4"/>
    <w:rsid w:val="00270805"/>
    <w:rsid w:val="002C2E2F"/>
    <w:rsid w:val="002E0F47"/>
    <w:rsid w:val="002F4E68"/>
    <w:rsid w:val="00301F3F"/>
    <w:rsid w:val="00310826"/>
    <w:rsid w:val="0032301A"/>
    <w:rsid w:val="00354647"/>
    <w:rsid w:val="00377273"/>
    <w:rsid w:val="003845C1"/>
    <w:rsid w:val="00387287"/>
    <w:rsid w:val="003C1807"/>
    <w:rsid w:val="003E48F1"/>
    <w:rsid w:val="003F347A"/>
    <w:rsid w:val="003F5BC5"/>
    <w:rsid w:val="00423E3E"/>
    <w:rsid w:val="00427AF4"/>
    <w:rsid w:val="0045231F"/>
    <w:rsid w:val="004647DA"/>
    <w:rsid w:val="0046793F"/>
    <w:rsid w:val="00477808"/>
    <w:rsid w:val="00477D6B"/>
    <w:rsid w:val="004A6C37"/>
    <w:rsid w:val="004E297D"/>
    <w:rsid w:val="00531B02"/>
    <w:rsid w:val="005332F0"/>
    <w:rsid w:val="0055013B"/>
    <w:rsid w:val="00571B99"/>
    <w:rsid w:val="006029CA"/>
    <w:rsid w:val="00605827"/>
    <w:rsid w:val="00675021"/>
    <w:rsid w:val="006837CE"/>
    <w:rsid w:val="006A06C6"/>
    <w:rsid w:val="006B20C7"/>
    <w:rsid w:val="007224C8"/>
    <w:rsid w:val="007512D4"/>
    <w:rsid w:val="00794BE2"/>
    <w:rsid w:val="007A5581"/>
    <w:rsid w:val="007B71FE"/>
    <w:rsid w:val="007D781E"/>
    <w:rsid w:val="007E663E"/>
    <w:rsid w:val="00815082"/>
    <w:rsid w:val="0088395E"/>
    <w:rsid w:val="008B2CC1"/>
    <w:rsid w:val="008E6BD6"/>
    <w:rsid w:val="00904C3B"/>
    <w:rsid w:val="0090731E"/>
    <w:rsid w:val="00966A22"/>
    <w:rsid w:val="00972F03"/>
    <w:rsid w:val="009A0C8B"/>
    <w:rsid w:val="009A20CD"/>
    <w:rsid w:val="009B223D"/>
    <w:rsid w:val="009B6241"/>
    <w:rsid w:val="00A16FC0"/>
    <w:rsid w:val="00A32C9E"/>
    <w:rsid w:val="00AB613D"/>
    <w:rsid w:val="00AE7F20"/>
    <w:rsid w:val="00B534D5"/>
    <w:rsid w:val="00B65A0A"/>
    <w:rsid w:val="00B67CDC"/>
    <w:rsid w:val="00B72D36"/>
    <w:rsid w:val="00B73045"/>
    <w:rsid w:val="00BC4164"/>
    <w:rsid w:val="00BD2DCC"/>
    <w:rsid w:val="00C90559"/>
    <w:rsid w:val="00CA2251"/>
    <w:rsid w:val="00D56C7C"/>
    <w:rsid w:val="00D71B4D"/>
    <w:rsid w:val="00D90289"/>
    <w:rsid w:val="00D93D55"/>
    <w:rsid w:val="00DC4C60"/>
    <w:rsid w:val="00DD53AF"/>
    <w:rsid w:val="00E0079A"/>
    <w:rsid w:val="00E07239"/>
    <w:rsid w:val="00E444DA"/>
    <w:rsid w:val="00E45C84"/>
    <w:rsid w:val="00E504E5"/>
    <w:rsid w:val="00E842EC"/>
    <w:rsid w:val="00EB7A3E"/>
    <w:rsid w:val="00EC1AA7"/>
    <w:rsid w:val="00EC401A"/>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s-ES" w:eastAsia="zh-CN"/>
    </w:rPr>
  </w:style>
  <w:style w:type="paragraph" w:customStyle="1" w:styleId="xmsobodytext">
    <w:name w:val="x_msobodytext"/>
    <w:basedOn w:val="Normal"/>
    <w:rsid w:val="006029CA"/>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6029CA"/>
  </w:style>
  <w:style w:type="character" w:styleId="FootnoteReference">
    <w:name w:val="footnote reference"/>
    <w:basedOn w:val="DefaultParagraphFont"/>
    <w:semiHidden/>
    <w:unhideWhenUsed/>
    <w:rsid w:val="006029CA"/>
    <w:rPr>
      <w:vertAlign w:val="superscript"/>
    </w:rPr>
  </w:style>
  <w:style w:type="character" w:customStyle="1" w:styleId="FootnoteTextChar">
    <w:name w:val="Footnote Text Char"/>
    <w:basedOn w:val="DefaultParagraphFont"/>
    <w:link w:val="FootnoteText"/>
    <w:semiHidden/>
    <w:rsid w:val="006029CA"/>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s-ES" w:eastAsia="zh-CN"/>
    </w:rPr>
  </w:style>
  <w:style w:type="paragraph" w:customStyle="1" w:styleId="xmsobodytext">
    <w:name w:val="x_msobodytext"/>
    <w:basedOn w:val="Normal"/>
    <w:rsid w:val="006029CA"/>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6029CA"/>
  </w:style>
  <w:style w:type="character" w:styleId="FootnoteReference">
    <w:name w:val="footnote reference"/>
    <w:basedOn w:val="DefaultParagraphFont"/>
    <w:semiHidden/>
    <w:unhideWhenUsed/>
    <w:rsid w:val="006029CA"/>
    <w:rPr>
      <w:vertAlign w:val="superscript"/>
    </w:rPr>
  </w:style>
  <w:style w:type="character" w:customStyle="1" w:styleId="FootnoteTextChar">
    <w:name w:val="Footnote Text Char"/>
    <w:basedOn w:val="DefaultParagraphFont"/>
    <w:link w:val="FootnoteText"/>
    <w:semiHidden/>
    <w:rsid w:val="006029CA"/>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SCCR/37/</vt:lpstr>
    </vt:vector>
  </TitlesOfParts>
  <Company>WIPO</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dc:title>
  <dc:creator>CEVALLOS DUQUE Nilo</dc:creator>
  <cp:lastModifiedBy>HAIZEL Francesca</cp:lastModifiedBy>
  <cp:revision>2</cp:revision>
  <dcterms:created xsi:type="dcterms:W3CDTF">2018-10-10T12:59:00Z</dcterms:created>
  <dcterms:modified xsi:type="dcterms:W3CDTF">2018-10-10T12:59:00Z</dcterms:modified>
</cp:coreProperties>
</file>